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C27A2" w:rsidP="00E540BB" w:rsidRDefault="00AC6A89" w14:paraId="0E5D6096" w14:textId="1E6FDFD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</w:rPr>
      </w:pPr>
      <w:r w:rsidRPr="00DC27A2">
        <w:rPr>
          <w:rStyle w:val="TitleChar"/>
        </w:rPr>
        <w:t>Ser</w:t>
      </w:r>
      <w:r w:rsidR="00695D22">
        <w:rPr>
          <w:rStyle w:val="TitleChar"/>
        </w:rPr>
        <w:t>i</w:t>
      </w:r>
      <w:r w:rsidRPr="00DC27A2" w:rsidR="00DC27A2">
        <w:rPr>
          <w:rStyle w:val="TitleChar"/>
        </w:rPr>
        <w:t>als</w:t>
      </w:r>
      <w:r w:rsidRPr="00DC27A2" w:rsidR="00E540BB">
        <w:rPr>
          <w:rStyle w:val="TitleChar"/>
        </w:rPr>
        <w:t>:</w:t>
      </w:r>
      <w:r w:rsidR="0068563F">
        <w:rPr>
          <w:rFonts w:asciiTheme="minorHAnsi" w:hAnsiTheme="minorHAnsi"/>
          <w:b/>
        </w:rPr>
        <w:t xml:space="preserve"> Difficulty level </w:t>
      </w:r>
      <w:r w:rsidR="00DC27A2">
        <w:rPr>
          <w:rFonts w:asciiTheme="minorHAnsi" w:hAnsiTheme="minorHAnsi"/>
          <w:b/>
        </w:rPr>
        <w:t>Medium</w:t>
      </w:r>
    </w:p>
    <w:p w:rsidRPr="00382F27" w:rsidR="00382F27" w:rsidP="00F0380A" w:rsidRDefault="00382F27" w14:paraId="2569BE7B" w14:textId="1D08987D">
      <w:pPr>
        <w:rPr>
          <w:b/>
          <w:bCs/>
        </w:rPr>
      </w:pPr>
      <w:r w:rsidRPr="00382F27">
        <w:rPr>
          <w:b/>
          <w:bCs/>
        </w:rPr>
        <w:t>Background:</w:t>
      </w:r>
    </w:p>
    <w:p w:rsidR="00F0380A" w:rsidP="00F0380A" w:rsidRDefault="00F0380A" w14:paraId="62C3805F" w14:textId="04C1409F">
      <w:r w:rsidR="00F0380A">
        <w:rPr/>
        <w:t xml:space="preserve">In our current system we have created our own version of a serials module by using a second item record as holdings record.  </w:t>
      </w:r>
      <w:r w:rsidR="00F708DC">
        <w:rPr/>
        <w:t xml:space="preserve">We create circulating record to manage checkouts to patrons, but there is no </w:t>
      </w:r>
      <w:r w:rsidR="001D6422">
        <w:rPr/>
        <w:t xml:space="preserve">management at a higher level of the publication, subscription or </w:t>
      </w:r>
      <w:r w:rsidR="00611CEF">
        <w:rPr/>
        <w:t xml:space="preserve">expectation of delivery.  </w:t>
      </w:r>
      <w:r w:rsidR="00263B09">
        <w:rPr/>
        <w:t xml:space="preserve">Our Sierra </w:t>
      </w:r>
      <w:r w:rsidR="787B7FDC">
        <w:rPr/>
        <w:t>S</w:t>
      </w:r>
      <w:r w:rsidR="00263B09">
        <w:rPr/>
        <w:t xml:space="preserve">uccess </w:t>
      </w:r>
      <w:r w:rsidR="1DF3089D">
        <w:rPr/>
        <w:t>B</w:t>
      </w:r>
      <w:r w:rsidR="00263B09">
        <w:rPr/>
        <w:t>undle includes a module that is designed to manag</w:t>
      </w:r>
      <w:r w:rsidR="00597330">
        <w:rPr/>
        <w:t xml:space="preserve">e </w:t>
      </w:r>
      <w:r w:rsidR="002D2BC1">
        <w:rPr/>
        <w:t xml:space="preserve">the unique nuances of </w:t>
      </w:r>
      <w:r w:rsidR="007D037D">
        <w:rPr/>
        <w:t xml:space="preserve">serials, from their </w:t>
      </w:r>
      <w:r w:rsidR="3C01C196">
        <w:rPr/>
        <w:t>bibliographic</w:t>
      </w:r>
      <w:r w:rsidR="009B7DC6">
        <w:rPr/>
        <w:t xml:space="preserve"> information</w:t>
      </w:r>
      <w:r w:rsidR="00A51EBA">
        <w:rPr/>
        <w:t>, publication</w:t>
      </w:r>
      <w:r w:rsidR="004E02CC">
        <w:rPr/>
        <w:t xml:space="preserve"> frequency</w:t>
      </w:r>
      <w:r w:rsidR="009142DB">
        <w:rPr/>
        <w:t xml:space="preserve">, coverage and </w:t>
      </w:r>
      <w:r w:rsidR="00464DAD">
        <w:rPr/>
        <w:t>transactions.</w:t>
      </w:r>
      <w:r w:rsidR="00AC7C25">
        <w:rPr/>
        <w:t xml:space="preserve">  Currently, our patrons </w:t>
      </w:r>
      <w:proofErr w:type="gramStart"/>
      <w:r w:rsidR="00AC7C25">
        <w:rPr/>
        <w:t>are able to</w:t>
      </w:r>
      <w:proofErr w:type="gramEnd"/>
      <w:r w:rsidR="00AC7C25">
        <w:rPr/>
        <w:t xml:space="preserve"> see the holdings statement only.</w:t>
      </w:r>
      <w:r>
        <w:br/>
      </w:r>
    </w:p>
    <w:p w:rsidR="002A62E7" w:rsidP="002A62E7" w:rsidRDefault="00BD5C4E" w14:paraId="147566C9" w14:textId="74BC09CC">
      <w:pPr>
        <w:shd w:val="clear" w:color="auto" w:fill="FFFFFF"/>
        <w:spacing w:before="100" w:beforeAutospacing="1"/>
      </w:pPr>
      <w:r>
        <w:t>Sierra contains various functions to maintain</w:t>
      </w:r>
      <w:r w:rsidR="002A62E7">
        <w:t xml:space="preserve"> and manage</w:t>
      </w:r>
      <w:r>
        <w:t xml:space="preserve"> your library's serials, including:</w:t>
      </w:r>
    </w:p>
    <w:p w:rsidR="00A3035B" w:rsidP="00A3035B" w:rsidRDefault="00A3035B" w14:paraId="661AEC59" w14:textId="77777777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</w:pPr>
      <w:r>
        <w:t>J</w:t>
      </w:r>
      <w:r w:rsidR="00BD5C4E">
        <w:t>ournals, periodicals, and newspapers</w:t>
      </w:r>
    </w:p>
    <w:p w:rsidR="00857F0B" w:rsidP="00A3035B" w:rsidRDefault="00A3035B" w14:paraId="07918BCC" w14:textId="77777777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</w:pPr>
      <w:r>
        <w:t>G</w:t>
      </w:r>
      <w:r w:rsidR="00BD5C4E">
        <w:t>overnment documents</w:t>
      </w:r>
    </w:p>
    <w:p w:rsidR="00857F0B" w:rsidP="00A3035B" w:rsidRDefault="00857F0B" w14:paraId="17F6F0AF" w14:textId="77777777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</w:pPr>
      <w:r>
        <w:t>M</w:t>
      </w:r>
      <w:r w:rsidR="00BD5C4E">
        <w:t xml:space="preserve">onographic series Sierra supports: </w:t>
      </w:r>
    </w:p>
    <w:p w:rsidR="00D2519B" w:rsidP="00A3035B" w:rsidRDefault="00857F0B" w14:paraId="1FC82F8C" w14:textId="77777777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</w:pPr>
      <w:r>
        <w:t>S</w:t>
      </w:r>
      <w:r w:rsidR="00BD5C4E">
        <w:t xml:space="preserve">tandard and special serials, including advance sheets, supplements, cumulations, reprints, microform reproductions, indexes, etc. </w:t>
      </w:r>
    </w:p>
    <w:p w:rsidR="00D2519B" w:rsidP="00A3035B" w:rsidRDefault="00D2519B" w14:paraId="5C02ED44" w14:textId="77777777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</w:pPr>
      <w:r>
        <w:t>S</w:t>
      </w:r>
      <w:r w:rsidR="00BD5C4E">
        <w:t xml:space="preserve">pine labels and pocket parts </w:t>
      </w:r>
    </w:p>
    <w:p w:rsidR="00E51F6F" w:rsidP="5AF3D791" w:rsidRDefault="00D2519B" w14:paraId="778A285F" w14:textId="2DF92621">
      <w:pPr>
        <w:pStyle w:val="ListParagraph"/>
        <w:numPr>
          <w:ilvl w:val="0"/>
          <w:numId w:val="3"/>
        </w:numPr>
        <w:shd w:val="clear" w:color="auto" w:fill="FFFFFF" w:themeFill="background1"/>
        <w:spacing w:before="100" w:beforeAutospacing="on"/>
        <w:rPr/>
      </w:pPr>
      <w:r w:rsidR="00D2519B">
        <w:rPr/>
        <w:t>A</w:t>
      </w:r>
      <w:r w:rsidR="00BD5C4E">
        <w:rPr/>
        <w:t xml:space="preserve">ll frequencies (regular and irregular) </w:t>
      </w:r>
      <w:r>
        <w:br/>
      </w:r>
    </w:p>
    <w:p w:rsidR="00A50819" w:rsidP="00E51F6F" w:rsidRDefault="00FE56F6" w14:paraId="2F5D292E" w14:textId="77777777">
      <w:pPr>
        <w:shd w:val="clear" w:color="auto" w:fill="FFFFFF"/>
        <w:spacing w:before="100" w:beforeAutospacing="1"/>
      </w:pPr>
      <w:r>
        <w:t xml:space="preserve">Serials records are called </w:t>
      </w:r>
      <w:r w:rsidR="00760C67">
        <w:t>“</w:t>
      </w:r>
      <w:proofErr w:type="spellStart"/>
      <w:r w:rsidR="00A24171">
        <w:t>C</w:t>
      </w:r>
      <w:r w:rsidR="00760C67">
        <w:t>hecki</w:t>
      </w:r>
      <w:r w:rsidR="00A24171">
        <w:t>n</w:t>
      </w:r>
      <w:proofErr w:type="spellEnd"/>
      <w:r w:rsidR="00A24171">
        <w:t xml:space="preserve"> </w:t>
      </w:r>
      <w:r w:rsidR="00930D12">
        <w:t>Records”.  They are more complex than an item record and include</w:t>
      </w:r>
      <w:r w:rsidR="00900DF5">
        <w:t xml:space="preserve"> </w:t>
      </w:r>
      <w:r w:rsidR="00584E03">
        <w:t>tabs</w:t>
      </w:r>
      <w:r w:rsidR="008242B9">
        <w:t xml:space="preserve"> for storing the following information</w:t>
      </w:r>
      <w:r w:rsidR="00A50819">
        <w:t>:</w:t>
      </w:r>
    </w:p>
    <w:p w:rsidRPr="00A50819" w:rsidR="00A50819" w:rsidP="00A50819" w:rsidRDefault="00A50819" w14:paraId="499A107B" w14:textId="77777777">
      <w:pPr>
        <w:numPr>
          <w:ilvl w:val="0"/>
          <w:numId w:val="5"/>
        </w:numPr>
        <w:shd w:val="clear" w:color="auto" w:fill="FFFFFF"/>
        <w:spacing w:before="100" w:beforeAutospacing="1"/>
      </w:pPr>
      <w:r w:rsidRPr="00A50819">
        <w:rPr>
          <w:b/>
          <w:bCs/>
        </w:rPr>
        <w:t>Summary</w:t>
      </w:r>
      <w:r w:rsidRPr="00A50819">
        <w:t xml:space="preserve"> tab: View a summary list of all Holdings records attached to the bib</w:t>
      </w:r>
    </w:p>
    <w:p w:rsidRPr="00A50819" w:rsidR="00A50819" w:rsidP="00A50819" w:rsidRDefault="00A50819" w14:paraId="36771D8B" w14:textId="77777777">
      <w:pPr>
        <w:numPr>
          <w:ilvl w:val="0"/>
          <w:numId w:val="5"/>
        </w:numPr>
        <w:shd w:val="clear" w:color="auto" w:fill="FFFFFF"/>
        <w:spacing w:before="100" w:beforeAutospacing="1"/>
      </w:pPr>
      <w:r w:rsidRPr="00A50819">
        <w:rPr>
          <w:b/>
          <w:bCs/>
        </w:rPr>
        <w:t>Record</w:t>
      </w:r>
      <w:r w:rsidRPr="00A50819">
        <w:t xml:space="preserve"> tab: Displays the </w:t>
      </w:r>
      <w:proofErr w:type="spellStart"/>
      <w:r w:rsidRPr="00A50819">
        <w:t>Checkin</w:t>
      </w:r>
      <w:proofErr w:type="spellEnd"/>
      <w:r w:rsidRPr="00A50819">
        <w:t xml:space="preserve"> record includes the fixed-length and variable-length fields associated with the selected </w:t>
      </w:r>
      <w:proofErr w:type="spellStart"/>
      <w:r w:rsidRPr="00A50819">
        <w:t>Checkin</w:t>
      </w:r>
      <w:proofErr w:type="spellEnd"/>
      <w:r w:rsidRPr="00A50819">
        <w:t xml:space="preserve"> record.</w:t>
      </w:r>
    </w:p>
    <w:p w:rsidRPr="00A50819" w:rsidR="00A50819" w:rsidP="00A50819" w:rsidRDefault="00A50819" w14:paraId="12B535B1" w14:textId="77777777">
      <w:pPr>
        <w:numPr>
          <w:ilvl w:val="0"/>
          <w:numId w:val="5"/>
        </w:numPr>
        <w:shd w:val="clear" w:color="auto" w:fill="FFFFFF"/>
        <w:spacing w:before="100" w:beforeAutospacing="1"/>
      </w:pPr>
      <w:r w:rsidRPr="00A50819">
        <w:rPr>
          <w:b/>
          <w:bCs/>
        </w:rPr>
        <w:t>Card</w:t>
      </w:r>
      <w:r w:rsidRPr="00A50819">
        <w:t xml:space="preserve"> tab: Displays the </w:t>
      </w:r>
      <w:proofErr w:type="spellStart"/>
      <w:r w:rsidRPr="00A50819">
        <w:t>Checkin</w:t>
      </w:r>
      <w:proofErr w:type="spellEnd"/>
      <w:r w:rsidRPr="00A50819">
        <w:t xml:space="preserve"> card for the record.  Contains boxes for each individual issue of that serial</w:t>
      </w:r>
    </w:p>
    <w:p w:rsidRPr="00A50819" w:rsidR="00A50819" w:rsidP="00A50819" w:rsidRDefault="00A50819" w14:paraId="4CD972C2" w14:textId="77777777">
      <w:pPr>
        <w:numPr>
          <w:ilvl w:val="0"/>
          <w:numId w:val="5"/>
        </w:numPr>
        <w:shd w:val="clear" w:color="auto" w:fill="FFFFFF"/>
        <w:spacing w:before="100" w:beforeAutospacing="1"/>
      </w:pPr>
      <w:r w:rsidRPr="00A50819">
        <w:rPr>
          <w:b/>
          <w:bCs/>
        </w:rPr>
        <w:t>Holdings</w:t>
      </w:r>
      <w:r w:rsidRPr="00A50819">
        <w:t xml:space="preserve"> tab: Displays holdings information (the volumes or issues in the collection)</w:t>
      </w:r>
    </w:p>
    <w:p w:rsidRPr="00A50819" w:rsidR="00A50819" w:rsidP="00A50819" w:rsidRDefault="00A50819" w14:paraId="4D1463CD" w14:textId="77777777">
      <w:pPr>
        <w:numPr>
          <w:ilvl w:val="0"/>
          <w:numId w:val="5"/>
        </w:numPr>
        <w:shd w:val="clear" w:color="auto" w:fill="FFFFFF"/>
        <w:spacing w:before="100" w:beforeAutospacing="1"/>
      </w:pPr>
      <w:r w:rsidRPr="00A50819">
        <w:rPr>
          <w:b/>
          <w:bCs/>
        </w:rPr>
        <w:t>Routing</w:t>
      </w:r>
      <w:r w:rsidRPr="00A50819">
        <w:t xml:space="preserve"> tab: Lists the individuals to whom this serial is routinely routed (optional)</w:t>
      </w:r>
    </w:p>
    <w:p w:rsidR="002A62E7" w:rsidP="5AF3D791" w:rsidRDefault="00A50819" w14:paraId="5CC6F221" w14:textId="79614FEE">
      <w:pPr>
        <w:numPr>
          <w:ilvl w:val="0"/>
          <w:numId w:val="5"/>
        </w:numPr>
        <w:shd w:val="clear" w:color="auto" w:fill="FFFFFF" w:themeFill="background1"/>
        <w:spacing w:before="100" w:beforeAutospacing="on"/>
        <w:rPr/>
      </w:pPr>
      <w:r w:rsidRPr="5AF3D791" w:rsidR="00A50819">
        <w:rPr>
          <w:b w:val="1"/>
          <w:bCs w:val="1"/>
        </w:rPr>
        <w:t>Bib-level</w:t>
      </w:r>
      <w:r w:rsidR="00A50819">
        <w:rPr/>
        <w:t xml:space="preserve"> </w:t>
      </w:r>
      <w:r w:rsidRPr="5AF3D791" w:rsidR="00A50819">
        <w:rPr>
          <w:b w:val="1"/>
          <w:bCs w:val="1"/>
        </w:rPr>
        <w:t>holds</w:t>
      </w:r>
      <w:r w:rsidR="00A50819">
        <w:rPr/>
        <w:t xml:space="preserve"> tab: place or view holds for that </w:t>
      </w:r>
      <w:r w:rsidR="00A50819">
        <w:rPr/>
        <w:t>particular item</w:t>
      </w:r>
      <w:r>
        <w:br/>
      </w:r>
    </w:p>
    <w:p w:rsidR="00EC06F4" w:rsidP="00E51F6F" w:rsidRDefault="0025331D" w14:paraId="4CC7DF0E" w14:textId="27C3F3EF">
      <w:pPr>
        <w:shd w:val="clear" w:color="auto" w:fill="FFFFFF"/>
        <w:spacing w:before="100" w:beforeAutospacing="1"/>
        <w:rPr>
          <w:b/>
          <w:bCs/>
        </w:rPr>
      </w:pPr>
      <w:r>
        <w:rPr>
          <w:b/>
          <w:bCs/>
        </w:rPr>
        <w:t>Manages Subscriptions</w:t>
      </w:r>
    </w:p>
    <w:p w:rsidRPr="003D1BC8" w:rsidR="006A1038" w:rsidP="00DC0F82" w:rsidRDefault="00DC0F82" w14:paraId="56707E9F" w14:textId="20EDBDF8">
      <w:pPr>
        <w:pStyle w:val="ListParagraph"/>
        <w:numPr>
          <w:ilvl w:val="0"/>
          <w:numId w:val="4"/>
        </w:numPr>
        <w:shd w:val="clear" w:color="auto" w:fill="FFFFFF"/>
        <w:spacing w:before="100" w:beforeAutospacing="1"/>
        <w:rPr>
          <w:b/>
          <w:bCs/>
        </w:rPr>
      </w:pPr>
      <w:r>
        <w:t xml:space="preserve">Each </w:t>
      </w:r>
      <w:proofErr w:type="spellStart"/>
      <w:r w:rsidR="000D190C">
        <w:t>Checkin</w:t>
      </w:r>
      <w:proofErr w:type="spellEnd"/>
      <w:r>
        <w:t xml:space="preserve"> </w:t>
      </w:r>
      <w:r w:rsidR="000D190C">
        <w:t>R</w:t>
      </w:r>
      <w:r>
        <w:t xml:space="preserve">ecord includes a </w:t>
      </w:r>
      <w:proofErr w:type="spellStart"/>
      <w:r w:rsidR="00773C0A">
        <w:t>c</w:t>
      </w:r>
      <w:r w:rsidR="001568DA">
        <w:t>heckin</w:t>
      </w:r>
      <w:proofErr w:type="spellEnd"/>
      <w:r w:rsidR="001568DA">
        <w:t xml:space="preserve"> </w:t>
      </w:r>
      <w:r w:rsidR="00773C0A">
        <w:t>c</w:t>
      </w:r>
      <w:r w:rsidR="001568DA">
        <w:t>ard.</w:t>
      </w:r>
      <w:r w:rsidR="003961EF">
        <w:t xml:space="preserve">  When the record is created the </w:t>
      </w:r>
      <w:r w:rsidR="00693452">
        <w:t xml:space="preserve">frequency is used to create the expected cadence of </w:t>
      </w:r>
      <w:r w:rsidR="007D028A">
        <w:t>arriving issues</w:t>
      </w:r>
      <w:r w:rsidR="00C02656">
        <w:t>.</w:t>
      </w:r>
      <w:r w:rsidR="00221DD6">
        <w:t xml:space="preserve">  When the copy arrives, the </w:t>
      </w:r>
      <w:r w:rsidR="00520CBD">
        <w:t>staff use the check in record in the holding statement to “Receive” the copy</w:t>
      </w:r>
      <w:r w:rsidR="001767AB">
        <w:t xml:space="preserve"> and create the item record.</w:t>
      </w:r>
      <w:r w:rsidR="00C070FC">
        <w:t xml:space="preserve">  The </w:t>
      </w:r>
      <w:proofErr w:type="spellStart"/>
      <w:r w:rsidR="00C070FC">
        <w:t>checkin</w:t>
      </w:r>
      <w:proofErr w:type="spellEnd"/>
      <w:r w:rsidR="00C070FC">
        <w:t xml:space="preserve"> card sets up the expectation for fulfillment. </w:t>
      </w:r>
      <w:r w:rsidR="003A669C">
        <w:t xml:space="preserve">  Information </w:t>
      </w:r>
      <w:r w:rsidR="00AE19B6">
        <w:t xml:space="preserve">on fulfilment is stored in the </w:t>
      </w:r>
      <w:proofErr w:type="spellStart"/>
      <w:r w:rsidR="00AE19B6">
        <w:t>checkin</w:t>
      </w:r>
      <w:proofErr w:type="spellEnd"/>
      <w:r w:rsidR="00AE19B6">
        <w:t xml:space="preserve"> record </w:t>
      </w:r>
      <w:proofErr w:type="gramStart"/>
      <w:r w:rsidR="00AE19B6">
        <w:t>and also</w:t>
      </w:r>
      <w:proofErr w:type="gramEnd"/>
      <w:r w:rsidR="00AE19B6">
        <w:t xml:space="preserve"> on the vendor record.  If the copy is not received</w:t>
      </w:r>
    </w:p>
    <w:p w:rsidRPr="006A1038" w:rsidR="003D1BC8" w:rsidP="00DC5089" w:rsidRDefault="003D1BC8" w14:paraId="5DB534F2" w14:textId="41D976AD">
      <w:pPr>
        <w:pStyle w:val="ListParagraph"/>
        <w:shd w:val="clear" w:color="auto" w:fill="FFFFFF"/>
        <w:spacing w:before="100" w:beforeAutospacing="1"/>
        <w:rPr>
          <w:b/>
          <w:bCs/>
        </w:rPr>
      </w:pPr>
    </w:p>
    <w:p w:rsidRPr="007F7AAA" w:rsidR="00DC0F82" w:rsidP="00DC0F82" w:rsidRDefault="00C070FC" w14:paraId="2371D14C" w14:textId="2EF5B979">
      <w:pPr>
        <w:pStyle w:val="ListParagraph"/>
        <w:numPr>
          <w:ilvl w:val="0"/>
          <w:numId w:val="4"/>
        </w:numPr>
        <w:shd w:val="clear" w:color="auto" w:fill="FFFFFF"/>
        <w:spacing w:before="100" w:beforeAutospacing="1"/>
        <w:rPr>
          <w:b/>
          <w:bCs/>
        </w:rPr>
      </w:pPr>
      <w:r>
        <w:t>If ite</w:t>
      </w:r>
      <w:bookmarkStart w:name="_GoBack" w:id="0"/>
      <w:r>
        <w:t>m</w:t>
      </w:r>
      <w:bookmarkEnd w:id="0"/>
      <w:r>
        <w:t>s are not received a “Claim” notice is generated.</w:t>
      </w:r>
    </w:p>
    <w:p w:rsidRPr="000727DA" w:rsidR="007F7AAA" w:rsidP="00DC0F82" w:rsidRDefault="007F7AAA" w14:paraId="23D91A9F" w14:textId="62A12E30">
      <w:pPr>
        <w:pStyle w:val="ListParagraph"/>
        <w:numPr>
          <w:ilvl w:val="0"/>
          <w:numId w:val="4"/>
        </w:numPr>
        <w:shd w:val="clear" w:color="auto" w:fill="FFFFFF"/>
        <w:spacing w:before="100" w:beforeAutospacing="1"/>
        <w:rPr>
          <w:b w:val="1"/>
          <w:bCs w:val="1"/>
        </w:rPr>
      </w:pPr>
      <w:r w:rsidR="007F7AAA">
        <w:rPr/>
        <w:t xml:space="preserve">Expedites processing </w:t>
      </w:r>
      <w:r>
        <w:br/>
      </w:r>
      <w:r w:rsidR="00BC155A">
        <w:drawing>
          <wp:inline wp14:editId="14DD8154" wp14:anchorId="5C75D7AE">
            <wp:extent cx="4273550" cy="2292011"/>
            <wp:effectExtent l="0" t="0" r="0" b="0"/>
            <wp:docPr id="755401945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389a09acfcf84a3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73550" cy="22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55A" w:rsidP="00266C15" w:rsidRDefault="00BC155A" w14:paraId="1F20269E" w14:textId="77777777">
      <w:pPr>
        <w:pStyle w:val="ListParagraph"/>
        <w:shd w:val="clear" w:color="auto" w:fill="FFFFFF"/>
        <w:spacing w:before="100" w:beforeAutospacing="1"/>
        <w:ind w:left="0"/>
        <w:rPr>
          <w:b/>
          <w:bCs/>
        </w:rPr>
      </w:pPr>
    </w:p>
    <w:p w:rsidR="00BC155A" w:rsidP="00266C15" w:rsidRDefault="00BC155A" w14:paraId="65022CC2" w14:textId="77777777">
      <w:pPr>
        <w:pStyle w:val="ListParagraph"/>
        <w:shd w:val="clear" w:color="auto" w:fill="FFFFFF"/>
        <w:spacing w:before="100" w:beforeAutospacing="1"/>
        <w:ind w:left="0"/>
        <w:rPr>
          <w:b/>
          <w:bCs/>
        </w:rPr>
      </w:pPr>
    </w:p>
    <w:p w:rsidRPr="008C1329" w:rsidR="000727DA" w:rsidP="00266C15" w:rsidRDefault="008C1329" w14:paraId="20672021" w14:textId="2F7635FE">
      <w:pPr>
        <w:pStyle w:val="ListParagraph"/>
        <w:shd w:val="clear" w:color="auto" w:fill="FFFFFF"/>
        <w:spacing w:before="100" w:beforeAutospacing="1"/>
        <w:ind w:left="0"/>
        <w:rPr>
          <w:b/>
          <w:bCs/>
        </w:rPr>
      </w:pPr>
      <w:r w:rsidRPr="008C1329">
        <w:rPr>
          <w:b/>
          <w:bCs/>
        </w:rPr>
        <w:t>Patron facing clarity</w:t>
      </w:r>
      <w:r w:rsidR="00266C15">
        <w:rPr>
          <w:b/>
          <w:bCs/>
        </w:rPr>
        <w:t>:</w:t>
      </w:r>
    </w:p>
    <w:p w:rsidRPr="00EB6954" w:rsidR="009D68B0" w:rsidP="00DC0F82" w:rsidRDefault="00DC76ED" w14:paraId="466C24BF" w14:textId="15972174">
      <w:pPr>
        <w:pStyle w:val="ListParagraph"/>
        <w:numPr>
          <w:ilvl w:val="0"/>
          <w:numId w:val="4"/>
        </w:numPr>
        <w:shd w:val="clear" w:color="auto" w:fill="FFFFFF"/>
        <w:spacing w:before="100" w:beforeAutospacing="1"/>
        <w:rPr>
          <w:b w:val="1"/>
          <w:bCs w:val="1"/>
        </w:rPr>
      </w:pPr>
      <w:r w:rsidR="00DC76ED">
        <w:rPr/>
        <w:t xml:space="preserve">Reveal both holdings and items in the catalog </w:t>
      </w:r>
      <w:r w:rsidR="00753DBA">
        <w:rPr/>
        <w:t xml:space="preserve">with </w:t>
      </w:r>
      <w:r w:rsidR="00C84F37">
        <w:rPr/>
        <w:t>greater detail</w:t>
      </w:r>
      <w:r>
        <w:br/>
      </w:r>
      <w:r w:rsidR="00EA778C">
        <w:drawing>
          <wp:inline wp14:editId="638DE3E7" wp14:anchorId="61EB1038">
            <wp:extent cx="5330280" cy="1981200"/>
            <wp:effectExtent l="0" t="0" r="3810" b="0"/>
            <wp:docPr id="691059780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67fd3a96fde43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3028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150F" w:rsidR="00A84743" w:rsidP="5AF3D791" w:rsidRDefault="00A84743" w14:paraId="3706EC23" w14:textId="129DE8B5">
      <w:pPr>
        <w:shd w:val="clear" w:color="auto" w:fill="FFFFFF" w:themeFill="background1"/>
        <w:spacing w:before="100" w:beforeAutospacing="on"/>
      </w:pPr>
      <w:r w:rsidRPr="5AF3D791" w:rsidR="00A84743">
        <w:rPr>
          <w:b w:val="1"/>
          <w:bCs w:val="1"/>
        </w:rPr>
        <w:t>Routing</w:t>
      </w:r>
      <w:r w:rsidRPr="5AF3D791" w:rsidR="00A5150F">
        <w:rPr>
          <w:b w:val="1"/>
          <w:bCs w:val="1"/>
        </w:rPr>
        <w:t xml:space="preserve">: </w:t>
      </w:r>
      <w:r w:rsidR="00A5150F">
        <w:rPr/>
        <w:t xml:space="preserve">If a title is circulated to specific staff or patrons before display, you can </w:t>
      </w:r>
      <w:r w:rsidR="00565314">
        <w:rPr/>
        <w:t>automate this for be</w:t>
      </w:r>
      <w:r w:rsidR="007908F8">
        <w:rPr/>
        <w:t>tter tracking.</w:t>
      </w:r>
      <w:r>
        <w:br/>
      </w:r>
    </w:p>
    <w:p w:rsidR="00F0380A" w:rsidP="00E16B1C" w:rsidRDefault="00FA0A8A" w14:paraId="0C286CF0" w14:textId="488BB7AE">
      <w:pPr>
        <w:shd w:val="clear" w:color="auto" w:fill="FFFFFF"/>
        <w:spacing w:before="100" w:beforeAutospacing="1"/>
      </w:pPr>
      <w:proofErr w:type="spellStart"/>
      <w:r>
        <w:rPr>
          <w:b/>
          <w:bCs/>
        </w:rPr>
        <w:t>Bindary</w:t>
      </w:r>
      <w:proofErr w:type="spellEnd"/>
      <w:r w:rsidR="007908F8">
        <w:rPr>
          <w:b/>
          <w:bCs/>
        </w:rPr>
        <w:t xml:space="preserve">: </w:t>
      </w:r>
      <w:r w:rsidR="002B27D3">
        <w:t xml:space="preserve">If the library sends items to </w:t>
      </w:r>
      <w:proofErr w:type="spellStart"/>
      <w:r w:rsidR="002B27D3">
        <w:t>bindary</w:t>
      </w:r>
      <w:proofErr w:type="spellEnd"/>
      <w:r w:rsidR="002B27D3">
        <w:t xml:space="preserve">, the </w:t>
      </w:r>
      <w:proofErr w:type="spellStart"/>
      <w:r w:rsidR="00000AF0">
        <w:t>checkin</w:t>
      </w:r>
      <w:proofErr w:type="spellEnd"/>
      <w:r w:rsidR="00000AF0">
        <w:t xml:space="preserve"> cards can be used to group items and display as bound</w:t>
      </w:r>
      <w:r w:rsidR="00423152">
        <w:t>, based on information in the checkout record.</w:t>
      </w:r>
    </w:p>
    <w:sectPr w:rsidR="00F0380A" w:rsidSect="00F771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71" w:rsidP="00937FF9" w:rsidRDefault="005B6871" w14:paraId="7F75EBA3" w14:textId="77777777">
      <w:r>
        <w:separator/>
      </w:r>
    </w:p>
  </w:endnote>
  <w:endnote w:type="continuationSeparator" w:id="0">
    <w:p w:rsidR="005B6871" w:rsidP="00937FF9" w:rsidRDefault="005B6871" w14:paraId="7CAD39FA" w14:textId="77777777">
      <w:r>
        <w:continuationSeparator/>
      </w:r>
    </w:p>
  </w:endnote>
  <w:endnote w:type="continuationNotice" w:id="1">
    <w:p w:rsidR="005B6871" w:rsidRDefault="005B6871" w14:paraId="47ED16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C6" w:rsidRDefault="00F771C6" w14:paraId="6DBDAE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937FF9" w:rsidR="00937FF9" w:rsidP="003105CF" w:rsidRDefault="00F771C6" w14:paraId="664023AB" w14:textId="7BCBD8C3">
    <w:pPr>
      <w:pStyle w:val="Footer"/>
      <w:rPr>
        <w:sz w:val="16"/>
      </w:rPr>
    </w:pPr>
    <w:r w:rsidR="5AF3D791">
      <w:drawing>
        <wp:inline wp14:editId="5D8BF6A5" wp14:anchorId="35393CC8">
          <wp:extent cx="2838450" cy="542925"/>
          <wp:effectExtent l="0" t="0" r="0" b="9525"/>
          <wp:docPr id="1549525393" name="Picture 3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Picture 3"/>
                  <pic:cNvPicPr/>
                </pic:nvPicPr>
                <pic:blipFill>
                  <a:blip r:embed="R30e08f39c446401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838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C6" w:rsidRDefault="00F771C6" w14:paraId="51819C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71" w:rsidP="00937FF9" w:rsidRDefault="005B6871" w14:paraId="1606FA2E" w14:textId="77777777">
      <w:r>
        <w:separator/>
      </w:r>
    </w:p>
  </w:footnote>
  <w:footnote w:type="continuationSeparator" w:id="0">
    <w:p w:rsidR="005B6871" w:rsidP="00937FF9" w:rsidRDefault="005B6871" w14:paraId="52F3B7EB" w14:textId="77777777">
      <w:r>
        <w:continuationSeparator/>
      </w:r>
    </w:p>
  </w:footnote>
  <w:footnote w:type="continuationNotice" w:id="1">
    <w:p w:rsidR="005B6871" w:rsidRDefault="005B6871" w14:paraId="36B4C33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C6" w:rsidRDefault="00F771C6" w14:paraId="292D9C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C6" w:rsidRDefault="00F771C6" w14:paraId="1C857EF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C6" w:rsidRDefault="00F771C6" w14:paraId="1B5E28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72D"/>
    <w:multiLevelType w:val="multilevel"/>
    <w:tmpl w:val="D21C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3F17B35"/>
    <w:multiLevelType w:val="hybridMultilevel"/>
    <w:tmpl w:val="F23A29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7652B8"/>
    <w:multiLevelType w:val="hybridMultilevel"/>
    <w:tmpl w:val="451466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CF5C2C"/>
    <w:multiLevelType w:val="hybridMultilevel"/>
    <w:tmpl w:val="C1C6402C"/>
    <w:lvl w:ilvl="0" w:tplc="56764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A67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CAF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EEF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2D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22C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3AE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096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FE0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F5542"/>
    <w:multiLevelType w:val="hybridMultilevel"/>
    <w:tmpl w:val="330A6B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BB"/>
    <w:rsid w:val="00000AF0"/>
    <w:rsid w:val="0000391C"/>
    <w:rsid w:val="000059B2"/>
    <w:rsid w:val="00017CB5"/>
    <w:rsid w:val="00062ED2"/>
    <w:rsid w:val="000727DA"/>
    <w:rsid w:val="000D190C"/>
    <w:rsid w:val="00106D6F"/>
    <w:rsid w:val="001568DA"/>
    <w:rsid w:val="001641CF"/>
    <w:rsid w:val="00166FA4"/>
    <w:rsid w:val="001767AB"/>
    <w:rsid w:val="001D6422"/>
    <w:rsid w:val="00221DD6"/>
    <w:rsid w:val="002373B6"/>
    <w:rsid w:val="0025331D"/>
    <w:rsid w:val="00263B09"/>
    <w:rsid w:val="00266C15"/>
    <w:rsid w:val="0028500A"/>
    <w:rsid w:val="002A3DE1"/>
    <w:rsid w:val="002A5B3B"/>
    <w:rsid w:val="002A62E7"/>
    <w:rsid w:val="002B27D3"/>
    <w:rsid w:val="002D2912"/>
    <w:rsid w:val="002D2BC1"/>
    <w:rsid w:val="003105CF"/>
    <w:rsid w:val="00315721"/>
    <w:rsid w:val="00317128"/>
    <w:rsid w:val="00326914"/>
    <w:rsid w:val="00382F27"/>
    <w:rsid w:val="003961EF"/>
    <w:rsid w:val="003A669C"/>
    <w:rsid w:val="003C6704"/>
    <w:rsid w:val="003D1BC8"/>
    <w:rsid w:val="003D443A"/>
    <w:rsid w:val="00423152"/>
    <w:rsid w:val="00435CEF"/>
    <w:rsid w:val="00464DAD"/>
    <w:rsid w:val="0048560B"/>
    <w:rsid w:val="004D6FC0"/>
    <w:rsid w:val="004E02CC"/>
    <w:rsid w:val="00520CBD"/>
    <w:rsid w:val="00560A1E"/>
    <w:rsid w:val="00565314"/>
    <w:rsid w:val="00584E03"/>
    <w:rsid w:val="00597330"/>
    <w:rsid w:val="005B6871"/>
    <w:rsid w:val="005E065B"/>
    <w:rsid w:val="0060266E"/>
    <w:rsid w:val="00611CEF"/>
    <w:rsid w:val="006241AF"/>
    <w:rsid w:val="00637AA7"/>
    <w:rsid w:val="0068563F"/>
    <w:rsid w:val="00693452"/>
    <w:rsid w:val="00695D22"/>
    <w:rsid w:val="006A1038"/>
    <w:rsid w:val="006E27D8"/>
    <w:rsid w:val="0071033F"/>
    <w:rsid w:val="00753DBA"/>
    <w:rsid w:val="00760C67"/>
    <w:rsid w:val="00772323"/>
    <w:rsid w:val="00773C0A"/>
    <w:rsid w:val="007908F8"/>
    <w:rsid w:val="007D028A"/>
    <w:rsid w:val="007D037D"/>
    <w:rsid w:val="007F7AAA"/>
    <w:rsid w:val="008242B9"/>
    <w:rsid w:val="00857F0B"/>
    <w:rsid w:val="008C1329"/>
    <w:rsid w:val="00900DF5"/>
    <w:rsid w:val="009142DB"/>
    <w:rsid w:val="00927AA2"/>
    <w:rsid w:val="00930D12"/>
    <w:rsid w:val="00937FF9"/>
    <w:rsid w:val="009478B0"/>
    <w:rsid w:val="009B7DC6"/>
    <w:rsid w:val="009C44FE"/>
    <w:rsid w:val="009D369B"/>
    <w:rsid w:val="009D68B0"/>
    <w:rsid w:val="00A11AB2"/>
    <w:rsid w:val="00A24171"/>
    <w:rsid w:val="00A3035B"/>
    <w:rsid w:val="00A50819"/>
    <w:rsid w:val="00A5150F"/>
    <w:rsid w:val="00A51EBA"/>
    <w:rsid w:val="00A84743"/>
    <w:rsid w:val="00AA28A4"/>
    <w:rsid w:val="00AC6A89"/>
    <w:rsid w:val="00AC7C25"/>
    <w:rsid w:val="00AE19B6"/>
    <w:rsid w:val="00B55596"/>
    <w:rsid w:val="00B874B6"/>
    <w:rsid w:val="00BA683F"/>
    <w:rsid w:val="00BC155A"/>
    <w:rsid w:val="00BC4632"/>
    <w:rsid w:val="00BD5C4E"/>
    <w:rsid w:val="00BF2694"/>
    <w:rsid w:val="00C02656"/>
    <w:rsid w:val="00C07046"/>
    <w:rsid w:val="00C070FC"/>
    <w:rsid w:val="00C447A4"/>
    <w:rsid w:val="00C47360"/>
    <w:rsid w:val="00C84F37"/>
    <w:rsid w:val="00CA7F16"/>
    <w:rsid w:val="00CD306D"/>
    <w:rsid w:val="00D2519B"/>
    <w:rsid w:val="00D60593"/>
    <w:rsid w:val="00D851E2"/>
    <w:rsid w:val="00D948A1"/>
    <w:rsid w:val="00DC0F82"/>
    <w:rsid w:val="00DC1774"/>
    <w:rsid w:val="00DC27A2"/>
    <w:rsid w:val="00DC5089"/>
    <w:rsid w:val="00DC76ED"/>
    <w:rsid w:val="00DF49D3"/>
    <w:rsid w:val="00E16B1C"/>
    <w:rsid w:val="00E2222F"/>
    <w:rsid w:val="00E27AFA"/>
    <w:rsid w:val="00E4132F"/>
    <w:rsid w:val="00E51F6F"/>
    <w:rsid w:val="00E540BB"/>
    <w:rsid w:val="00E7697E"/>
    <w:rsid w:val="00E86971"/>
    <w:rsid w:val="00EA778C"/>
    <w:rsid w:val="00EA7C3B"/>
    <w:rsid w:val="00EB6954"/>
    <w:rsid w:val="00EC06F4"/>
    <w:rsid w:val="00EC4BA9"/>
    <w:rsid w:val="00EE47EA"/>
    <w:rsid w:val="00F0380A"/>
    <w:rsid w:val="00F06BD6"/>
    <w:rsid w:val="00F12C17"/>
    <w:rsid w:val="00F55C1B"/>
    <w:rsid w:val="00F66629"/>
    <w:rsid w:val="00F708DC"/>
    <w:rsid w:val="00F7468A"/>
    <w:rsid w:val="00F771C6"/>
    <w:rsid w:val="00F815C6"/>
    <w:rsid w:val="00FA0A8A"/>
    <w:rsid w:val="00FE56F6"/>
    <w:rsid w:val="00FF23B2"/>
    <w:rsid w:val="1DF3089D"/>
    <w:rsid w:val="300E21BC"/>
    <w:rsid w:val="3C01C196"/>
    <w:rsid w:val="5AF3D791"/>
    <w:rsid w:val="787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8B9DE8"/>
  <w15:chartTrackingRefBased/>
  <w15:docId w15:val="{EC85C31B-5F3D-4A6B-9603-E88516DB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40BB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0B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FF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37FF9"/>
  </w:style>
  <w:style w:type="paragraph" w:styleId="Footer">
    <w:name w:val="footer"/>
    <w:basedOn w:val="Normal"/>
    <w:link w:val="FooterChar"/>
    <w:uiPriority w:val="99"/>
    <w:unhideWhenUsed/>
    <w:rsid w:val="00937FF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7FF9"/>
  </w:style>
  <w:style w:type="paragraph" w:styleId="Title">
    <w:name w:val="Title"/>
    <w:basedOn w:val="Normal"/>
    <w:next w:val="Normal"/>
    <w:link w:val="TitleChar"/>
    <w:uiPriority w:val="10"/>
    <w:qFormat/>
    <w:rsid w:val="00DC27A2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27A2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0893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4969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470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237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98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470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media/image4.png" Id="R389a09acfcf84a39" /><Relationship Type="http://schemas.openxmlformats.org/officeDocument/2006/relationships/image" Target="/media/image5.png" Id="R567fd3a96fde4383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6.png" Id="R30e08f39c44640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47F96645BD48B29F7991E706BCCE" ma:contentTypeVersion="11" ma:contentTypeDescription="Create a new document." ma:contentTypeScope="" ma:versionID="6289e86cac91d6a25a810a6add4f1678">
  <xsd:schema xmlns:xsd="http://www.w3.org/2001/XMLSchema" xmlns:xs="http://www.w3.org/2001/XMLSchema" xmlns:p="http://schemas.microsoft.com/office/2006/metadata/properties" xmlns:ns2="c02dc7c5-92d6-40e4-8076-de72fa6f9102" xmlns:ns3="2f1d61cd-c050-4168-be77-bae7416d0414" targetNamespace="http://schemas.microsoft.com/office/2006/metadata/properties" ma:root="true" ma:fieldsID="ee4b7e638ebd42e9441ebfbcc6f91f45" ns2:_="" ns3:_="">
    <xsd:import namespace="c02dc7c5-92d6-40e4-8076-de72fa6f9102"/>
    <xsd:import namespace="2f1d61cd-c050-4168-be77-bae7416d0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dc7c5-92d6-40e4-8076-de72fa6f9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61cd-c050-4168-be77-bae7416d0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11E84-F7FE-4613-BB6B-48477BC5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dc7c5-92d6-40e4-8076-de72fa6f9102"/>
    <ds:schemaRef ds:uri="2f1d61cd-c050-4168-be77-bae7416d0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DF6DB-D610-43E7-AA57-96E489FFB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9C94A-025D-4A99-9028-CD51678414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Laurie Shedrick</dc:creator>
  <keywords/>
  <dc:description/>
  <lastModifiedBy>Rebekkah Smith Aldrich</lastModifiedBy>
  <revision>57</revision>
  <lastPrinted>2019-03-25T12:54:00.0000000Z</lastPrinted>
  <dcterms:created xsi:type="dcterms:W3CDTF">2020-02-10T21:09:00.0000000Z</dcterms:created>
  <dcterms:modified xsi:type="dcterms:W3CDTF">2020-05-07T18:31:32.8279446Z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0x010100555D47F96645BD48B29F7991E706BCCE</vt:lpwstr>
  </property>
</Properties>
</file>